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val="0"/>
          <w:bCs/>
        </w:rPr>
      </w:pPr>
      <w:r>
        <w:rPr>
          <w:rFonts w:hint="eastAsia"/>
          <w:b w:val="0"/>
          <w:bCs/>
        </w:rPr>
        <w:t>附件4：</w:t>
      </w:r>
    </w:p>
    <w:p>
      <w:pPr>
        <w:spacing w:before="240" w:after="60" w:line="360" w:lineRule="auto"/>
        <w:jc w:val="center"/>
        <w:outlineLvl w:val="1"/>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第八届全国医用胶原蛋白行业学术会议暨医用胶原蛋白产业高质量发展峰会——招商函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2021年9月11日-12日（2天）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广州翡翠希尔顿酒店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三、展位信息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（一）展位设置如下图标红方框所示</w:t>
      </w:r>
    </w:p>
    <w:p>
      <w:pPr>
        <w:keepNext w:val="0"/>
        <w:keepLines w:val="0"/>
        <w:widowControl/>
        <w:suppressLineNumbers w:val="0"/>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drawing>
          <wp:inline distT="0" distB="0" distL="114300" distR="114300">
            <wp:extent cx="5266690" cy="3151505"/>
            <wp:effectExtent l="0" t="0" r="0" b="0"/>
            <wp:docPr id="10"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图片1"/>
                    <pic:cNvPicPr>
                      <a:picLocks noChangeAspect="1"/>
                    </pic:cNvPicPr>
                  </pic:nvPicPr>
                  <pic:blipFill>
                    <a:blip r:embed="rId4"/>
                    <a:stretch>
                      <a:fillRect/>
                    </a:stretch>
                  </pic:blipFill>
                  <pic:spPr>
                    <a:xfrm>
                      <a:off x="0" y="0"/>
                      <a:ext cx="5266690" cy="315150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（二）展位信息：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（1）展位数量共计6个，共设置4个招商展位。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（2）展位规格：2.5m×2m×2.5m（长×宽×高）。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（3）展位配置：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960" w:firstLineChars="4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①参展费用包含会议午餐券、展商手册。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960" w:firstLineChars="4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②物料：背景板、洽谈桌一张、椅子两把、电源插座一个。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参展商可在展位区域内摆放产品、宣传册、易拉宝等。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展位如下图所示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drawing>
          <wp:inline distT="0" distB="0" distL="114300" distR="114300">
            <wp:extent cx="4699000" cy="3498215"/>
            <wp:effectExtent l="0" t="0" r="6350" b="6985"/>
            <wp:docPr id="17" name="图片 2" descr="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V4"/>
                    <pic:cNvPicPr>
                      <a:picLocks noChangeAspect="1"/>
                    </pic:cNvPicPr>
                  </pic:nvPicPr>
                  <pic:blipFill>
                    <a:blip r:embed="rId5"/>
                    <a:stretch>
                      <a:fillRect/>
                    </a:stretch>
                  </pic:blipFill>
                  <pic:spPr>
                    <a:xfrm>
                      <a:off x="0" y="0"/>
                      <a:ext cx="4699000" cy="34982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四、参展范围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医疗器械、化妆品、药品、保健品、出版物等商家。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五、赞助套餐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（一）套餐A（共邀请2名赞助商）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赞助金额：2万元人民币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套餐内容：① 展位1个（2天，配置如上述展位信息所示）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80" w:firstLineChars="7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 会前/会中/休息期间休息广告播放60S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80" w:firstLineChars="7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 参会名额2个、会议餐票2份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80" w:firstLineChars="7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 会刊插页广告一页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（二）套餐B（共邀请2名赞助商）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赞助金额：1.5万元人民币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套餐内容：① 展位1个（2天，配置如上述展位信息所示）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80" w:firstLineChars="7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 参会名额2个、会议餐票2份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80" w:firstLineChars="7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 会刊插页广告一页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六、其他赞助项目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（一）实物赞助（共邀请3名赞助商）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赞助费：1000元人民币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赞助内容：“手提袋、笔与本、代表证（背面可印广告）与挂绳”三项任意其一，实物由赞助方提供。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drawing>
          <wp:inline distT="0" distB="0" distL="114300" distR="114300">
            <wp:extent cx="4648200" cy="1545590"/>
            <wp:effectExtent l="0" t="0" r="0" b="16510"/>
            <wp:docPr id="18" name="图片 3" descr="1626665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1626665289(1)"/>
                    <pic:cNvPicPr>
                      <a:picLocks noChangeAspect="1"/>
                    </pic:cNvPicPr>
                  </pic:nvPicPr>
                  <pic:blipFill>
                    <a:blip r:embed="rId6"/>
                    <a:stretch>
                      <a:fillRect/>
                    </a:stretch>
                  </pic:blipFill>
                  <pic:spPr>
                    <a:xfrm>
                      <a:off x="0" y="0"/>
                      <a:ext cx="4648200" cy="154559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（二）会刊广告（共邀请6名赞助商）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赞助金额：1000元人民币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套餐内容：A4规格论坛刊物内印彩色广告一页。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drawing>
          <wp:inline distT="0" distB="0" distL="114300" distR="114300">
            <wp:extent cx="1272540" cy="1739900"/>
            <wp:effectExtent l="0" t="0" r="3810" b="12700"/>
            <wp:docPr id="12" name="图片 4" descr="a4fe0fd08e8d2951c802e9655963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a4fe0fd08e8d2951c802e9655963caf"/>
                    <pic:cNvPicPr>
                      <a:picLocks noChangeAspect="1"/>
                    </pic:cNvPicPr>
                  </pic:nvPicPr>
                  <pic:blipFill>
                    <a:blip r:embed="rId7"/>
                    <a:stretch>
                      <a:fillRect/>
                    </a:stretch>
                  </pic:blipFill>
                  <pic:spPr>
                    <a:xfrm>
                      <a:off x="0" y="0"/>
                      <a:ext cx="1272540" cy="1739900"/>
                    </a:xfrm>
                    <a:prstGeom prst="rect">
                      <a:avLst/>
                    </a:prstGeom>
                    <a:noFill/>
                    <a:ln>
                      <a:noFill/>
                    </a:ln>
                  </pic:spPr>
                </pic:pic>
              </a:graphicData>
            </a:graphic>
          </wp:inline>
        </w:drawing>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lang w:val="en-US" w:eastAsia="zh-CN"/>
        </w:rPr>
        <w:drawing>
          <wp:inline distT="0" distB="0" distL="114300" distR="114300">
            <wp:extent cx="2367280" cy="1739900"/>
            <wp:effectExtent l="0" t="0" r="13970" b="12700"/>
            <wp:docPr id="19" name="图片 5" descr="ad237adf4dc49bb2ff6971db491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ad237adf4dc49bb2ff6971db491e2c0"/>
                    <pic:cNvPicPr>
                      <a:picLocks noChangeAspect="1"/>
                    </pic:cNvPicPr>
                  </pic:nvPicPr>
                  <pic:blipFill>
                    <a:blip r:embed="rId8"/>
                    <a:stretch>
                      <a:fillRect/>
                    </a:stretch>
                  </pic:blipFill>
                  <pic:spPr>
                    <a:xfrm>
                      <a:off x="0" y="0"/>
                      <a:ext cx="2367280" cy="17399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（三）VCR滚动播放（共邀请3名赞助商）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赞助金额：6000元人民币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套餐内容：会前/会中/休息期间，主席台LED屏滚动播放 VCR广告（60秒）。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drawing>
          <wp:inline distT="0" distB="0" distL="114300" distR="114300">
            <wp:extent cx="2795905" cy="1865630"/>
            <wp:effectExtent l="0" t="0" r="4445" b="1270"/>
            <wp:docPr id="16" name="图片 6" descr="732A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732A6942"/>
                    <pic:cNvPicPr>
                      <a:picLocks noChangeAspect="1"/>
                    </pic:cNvPicPr>
                  </pic:nvPicPr>
                  <pic:blipFill>
                    <a:blip r:embed="rId9"/>
                    <a:stretch>
                      <a:fillRect/>
                    </a:stretch>
                  </pic:blipFill>
                  <pic:spPr>
                    <a:xfrm>
                      <a:off x="0" y="0"/>
                      <a:ext cx="2795905" cy="18656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七、赞助时间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自本通知发布日起至2021年8月20日17点30分为赞助时段，过时终止。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赞助联系人</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王先生</w:t>
            </w:r>
          </w:p>
        </w:tc>
        <w:tc>
          <w:tcPr>
            <w:tcW w:w="4261"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val="en-US" w:eastAsia="zh-CN"/>
              </w:rPr>
              <w:t>袁小姐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val="en-US" w:eastAsia="zh-CN"/>
              </w:rPr>
              <w:t>手机：130 7889 8893（微信同号）</w:t>
            </w:r>
          </w:p>
        </w:tc>
        <w:tc>
          <w:tcPr>
            <w:tcW w:w="4261"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val="en-US" w:eastAsia="zh-CN"/>
              </w:rPr>
              <w:t>手机：130 2749 3710（微信同号）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val="en-US" w:eastAsia="zh-CN"/>
              </w:rPr>
              <w:t>邮箱：</w:t>
            </w:r>
            <w:r>
              <w:rPr>
                <w:rStyle w:val="5"/>
                <w:rFonts w:hint="eastAsia" w:ascii="仿宋" w:hAnsi="仿宋" w:eastAsia="仿宋" w:cs="仿宋"/>
                <w:b w:val="0"/>
                <w:bCs/>
                <w:sz w:val="24"/>
                <w:szCs w:val="24"/>
                <w:lang w:val="en-US" w:eastAsia="zh-CN"/>
              </w:rPr>
              <w:fldChar w:fldCharType="begin"/>
            </w:r>
            <w:r>
              <w:rPr>
                <w:rStyle w:val="5"/>
                <w:rFonts w:hint="eastAsia" w:ascii="仿宋" w:hAnsi="仿宋" w:eastAsia="仿宋" w:cs="仿宋"/>
                <w:b w:val="0"/>
                <w:bCs/>
                <w:sz w:val="24"/>
                <w:szCs w:val="24"/>
                <w:lang w:val="en-US" w:eastAsia="zh-CN"/>
              </w:rPr>
              <w:instrText xml:space="preserve"> HYPERLINK "mailto:wangzhen@trauer.com.cn" </w:instrText>
            </w:r>
            <w:r>
              <w:rPr>
                <w:rStyle w:val="5"/>
                <w:rFonts w:hint="eastAsia" w:ascii="仿宋" w:hAnsi="仿宋" w:eastAsia="仿宋" w:cs="仿宋"/>
                <w:b w:val="0"/>
                <w:bCs/>
                <w:sz w:val="24"/>
                <w:szCs w:val="24"/>
                <w:lang w:val="en-US" w:eastAsia="zh-CN"/>
              </w:rPr>
              <w:fldChar w:fldCharType="separate"/>
            </w:r>
            <w:r>
              <w:rPr>
                <w:rStyle w:val="5"/>
                <w:rFonts w:hint="eastAsia" w:ascii="仿宋" w:hAnsi="仿宋" w:eastAsia="仿宋" w:cs="仿宋"/>
                <w:b w:val="0"/>
                <w:bCs/>
                <w:sz w:val="24"/>
                <w:szCs w:val="24"/>
                <w:lang w:val="en-US" w:eastAsia="zh-CN"/>
              </w:rPr>
              <w:t>wangzhen@trauer.com.cn</w:t>
            </w:r>
            <w:r>
              <w:rPr>
                <w:rStyle w:val="5"/>
                <w:rFonts w:hint="eastAsia" w:ascii="仿宋" w:hAnsi="仿宋" w:eastAsia="仿宋" w:cs="仿宋"/>
                <w:b w:val="0"/>
                <w:bCs/>
                <w:sz w:val="24"/>
                <w:szCs w:val="24"/>
                <w:lang w:val="en-US" w:eastAsia="zh-CN"/>
              </w:rPr>
              <w:fldChar w:fldCharType="end"/>
            </w:r>
          </w:p>
        </w:tc>
        <w:tc>
          <w:tcPr>
            <w:tcW w:w="4261"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val="en-US" w:eastAsia="zh-CN"/>
              </w:rPr>
              <w:t>邮箱：</w:t>
            </w:r>
            <w:r>
              <w:rPr>
                <w:rFonts w:hint="eastAsia" w:ascii="仿宋" w:hAnsi="仿宋" w:eastAsia="仿宋" w:cs="仿宋"/>
                <w:b w:val="0"/>
                <w:bCs/>
                <w:color w:val="000000"/>
                <w:sz w:val="24"/>
                <w:szCs w:val="24"/>
              </w:rPr>
              <w:fldChar w:fldCharType="begin"/>
            </w:r>
            <w:r>
              <w:rPr>
                <w:rFonts w:hint="eastAsia" w:ascii="仿宋" w:hAnsi="仿宋" w:eastAsia="仿宋" w:cs="仿宋"/>
                <w:b w:val="0"/>
                <w:bCs/>
                <w:color w:val="000000"/>
                <w:sz w:val="24"/>
                <w:szCs w:val="24"/>
              </w:rPr>
              <w:instrText xml:space="preserve"> HYPERLINK "mailto:yuanxuan@trauer.com.cn" </w:instrText>
            </w:r>
            <w:r>
              <w:rPr>
                <w:rFonts w:hint="eastAsia" w:ascii="仿宋" w:hAnsi="仿宋" w:eastAsia="仿宋" w:cs="仿宋"/>
                <w:b w:val="0"/>
                <w:bCs/>
                <w:color w:val="000000"/>
                <w:sz w:val="24"/>
                <w:szCs w:val="24"/>
              </w:rPr>
              <w:fldChar w:fldCharType="separate"/>
            </w:r>
            <w:r>
              <w:rPr>
                <w:rStyle w:val="5"/>
                <w:rFonts w:hint="eastAsia" w:ascii="仿宋" w:hAnsi="仿宋" w:eastAsia="仿宋" w:cs="仿宋"/>
                <w:b w:val="0"/>
                <w:bCs/>
                <w:sz w:val="24"/>
                <w:szCs w:val="24"/>
              </w:rPr>
              <w:t>yuanxuan@trauer.com.cn</w:t>
            </w:r>
            <w:r>
              <w:rPr>
                <w:rFonts w:hint="eastAsia" w:ascii="仿宋" w:hAnsi="仿宋" w:eastAsia="仿宋" w:cs="仿宋"/>
                <w:b w:val="0"/>
                <w:bCs/>
                <w:color w:val="000000"/>
                <w:sz w:val="24"/>
                <w:szCs w:val="24"/>
              </w:rPr>
              <w:fldChar w:fldCharType="end"/>
            </w:r>
          </w:p>
        </w:tc>
      </w:tr>
    </w:tbl>
    <w:p>
      <w:pPr>
        <w:spacing w:line="360" w:lineRule="auto"/>
        <w:rPr>
          <w:b w:val="0"/>
          <w:bC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7F653F"/>
    <w:multiLevelType w:val="singleLevel"/>
    <w:tmpl w:val="9F7F653F"/>
    <w:lvl w:ilvl="0" w:tentative="0">
      <w:start w:val="8"/>
      <w:numFmt w:val="chineseCounting"/>
      <w:suff w:val="nothing"/>
      <w:lvlText w:val="%1、"/>
      <w:lvlJc w:val="left"/>
      <w:rPr>
        <w:rFonts w:hint="eastAsia"/>
      </w:rPr>
    </w:lvl>
  </w:abstractNum>
  <w:abstractNum w:abstractNumId="1">
    <w:nsid w:val="4C472149"/>
    <w:multiLevelType w:val="singleLevel"/>
    <w:tmpl w:val="4C472149"/>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CE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2021-07-27T01:01:04Z</dcterms:created>
  <dc:creator>Dell</dc:creator>
  <cp:lastModifiedBy>STANŁEY</cp:lastModifiedBy>
  <dcterms:modified xsi:type="dcterms:W3CDTF">2021-07-27T01:01:10Z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